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21 113 vom 22. März 2023</w:t>
      </w:r>
    </w:p>
    <w:p>
      <w:r>
        <w:t>VS Kantonsgericht, 2023-03-22, FR</w:t>
      </w:r>
    </w:p>
    <w:p>
      <w:r>
        <w:rPr>
          <w:b/>
        </w:rPr>
        <w:t xml:space="preserve">Quelle: </w:t>
      </w:r>
      <w:r>
        <w:t>https://mcp.opencaselaw.ch/entscheid/vs_gerichte_S2 21 113</w:t>
      </w:r>
    </w:p>
    <w:p>
      <w:r>
        <w:t>FR: VS_GERICHTE S2 21 113 du 22 mars 2023</w:t>
      </w:r>
    </w:p>
    <w:p>
      <w:r>
        <w:t>IT: VS_GERICHTE S2 21 113 del 22 marzo 2023</w:t>
      </w:r>
    </w:p>
    <w:p>
      <w:pPr>
        <w:pStyle w:val="Heading2"/>
      </w:pPr>
      <w:r>
        <w:t>Regeste</w:t>
      </w:r>
    </w:p>
    <w:p>
      <w:r>
        <w:t>S2 21 113 JUGEMENT DU 22 MARS 2023 Tribunal cantonal du Valais Cour des assurances sociales Composition : Candido Prada, président ; Thomas Brunner et Christophe Joris, juges ; Simon Hausammann, greffier en la cause X _________, recourant, représenté par Maître Olivia Heinis, avocate, 1936 Verbier contre HOTELA ASSURANCES SA, 1820 Montreux 1, intimée, représentée par Maître Didier Elsig, avocat, 1001 Lausanne (art. 4 LPGA et 6 LAA ; notions d’accident et de lésion corporelle assimilée, statu quo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21 octobre 2021, le présent recours contre la décision sur opposition du 16 septembre précédent (reçue le 21 septembre 2021)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droit du recourant à des prestations d’assurance-accidents au- delà du 3 mars 2021. Dans un premier temps, il convient d’examiner si l’évènement du 28 décembre 2020 rempli les critères constitutifs d’un accident au sens de l’article 4 LPGA.</w:t>
      </w:r>
    </w:p>
    <w:p>
      <w:r>
        <w:rPr>
          <w:b/>
        </w:rPr>
        <w:t>E. 2.1</w:t>
      </w:r>
    </w:p>
    <w:p>
      <w:r>
        <w:t>L'assurance-accidents est en principe tenue d'allouer ses prestations en cas d'accident professionnel ou non professionnel (art. 6 al. 1 LAA).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références).</w:t>
      </w:r>
    </w:p>
    <w:p>
      <w:r>
        <w:t>- 6 -</w:t>
      </w:r>
    </w:p>
    <w:p>
      <w:r>
        <w:rPr>
          <w:b/>
        </w:rPr>
        <w:t>E. 2.1.1</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précité et les références). Ainsi,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 et arrêt 8C_815/2016 du 14 mars 2017 consid. 4.2).</w:t>
      </w:r>
    </w:p>
    <w:p>
      <w:r>
        <w:rPr>
          <w:b/>
        </w:rPr>
        <w:t>E. 2.1.2</w:t>
      </w:r>
    </w:p>
    <w:p>
      <w:r>
        <w:t>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dans le sens d’une modification entre le corps et l'environnement extérieur, constitue alors en même temps le facteur extraordinaire en raison du déroulement non programmé du mouvement (ATF 130 V 117 consid. 2.1 ; arrêt 8C_586/2020 du 30 novembre 2020 consid. 3.3). Lorsque la lésion se limite à une atteinte corporelle interne qui pourrait également survenir à la suite d’une maladie, le mouvement non coordonné doit en apparaître comme la cause directe selon des circonstances particulièrement évidentes (ATF 99 V 136 consid. 1 ; arrêt 8C_268/2019 du 2 juillet 2019 consid. 3). Le facteur externe est l'élément central de tout événement accidentel ; il est le pendant de la cause interne -</w:t>
      </w:r>
    </w:p>
    <w:p>
      <w:r>
        <w:t>- 7 - constitutive de la notion de maladie (ATF 134 V 72 consid. 4.1 et 4.3.2.1 ; ATF 118 V 283 consid. 2a).</w:t>
      </w:r>
    </w:p>
    <w:p>
      <w:r>
        <w:rPr>
          <w:b/>
        </w:rPr>
        <w:t>E. 2.1.3</w:t>
      </w:r>
    </w:p>
    <w:p>
      <w:r>
        <w:t>Pour les accidents survenus dans l'exercice du sport, l'existence d'un évènement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8C_410/2017 du 22 mars 2018 consid. 3.2). A titre d'exemples, le critère du facteur extérieur extraordinaire a été admis dans le cas d'une charge contre la balustrade subie par un hockeyeur (ATF 130 V 117 consid. 3), d'une réception au sol manquée par un gymnaste lors d'un « saut de carpe » (arrêt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U 114/97 du 18 mars 1999, in RAMA 1999 n° U 345 p. 420). En revanche, il a été nié dans le cas d'une assurée qui, selon ses premières déclarations, a exécuté une culbute en arrière sans incidents particuliers et s'est alors blessée au niveau de la nuque et de l'épaule (arrêt U 322/02 du 7 octobre 2003). Il en est allé de même dans le cas d'une personne qui a exécuté une culbute « ratée » en arrière lors d'un entraînement de Ju-jitsu, le fait qu'elle ait roulé non pas par-dessus son épaule, mais par-dessus sa nuque, ne constituant pas un mouvement sortant de l'éventail ordinaire des mouvements exécutés dans la pratique de ce sport. La jurisprudence a également considéré que le fait qu’un assuré se déboîte l’épaule par un mouvement non coordonné à la suite d'un relâchement de sa corde, tout en restant sécurisé par celle-ci, faisait précisément partie du risque inhérent à la pratique de l’escalade et devait être considéré comme n'excédant pas ce que l'on peut objectivement qualifier de normal et d'habituel dans l'exercice de cette activité sportive (arrêt 8C_719/2019 du 5 novembre 2020 consid. 3.2 et 4.3 avec les références). Enfin, en matière de ski alpin, la jurisprudence a encore nié l’existence d’un évènement accidentel dans le cas d’un skieur qui s’était blessé à l’épaule gauche après avoir ressenti un choc lors de l’utilisation de son bâton (arrêt 8C_589/2021 du 17 décembre 2021), ainsi que dans le cas de celui qui a développé une hernie discale à la suite de la descente d’une piste raide et bosselée (arrêt non publié U 16/91 du 16 mai 1991).</w:t>
      </w:r>
    </w:p>
    <w:p>
      <w:r>
        <w:rPr>
          <w:b/>
        </w:rPr>
        <w:t>E. 2.2</w:t>
      </w:r>
    </w:p>
    <w:p>
      <w:r>
        <w:t>Au sujet de la preuve de l'existence d'une cause extérieure prétendument à l'origine de l'atteinte à la santé, on rappellera que les explications d'un assuré sur le déroulement</w:t>
      </w:r>
    </w:p>
    <w:p>
      <w:r>
        <w:t>- 8 -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 121 V 45 consid. 2a et les références).</w:t>
      </w:r>
    </w:p>
    <w:p>
      <w:r>
        <w:rPr>
          <w:b/>
        </w:rPr>
        <w:t>E. 2.3</w:t>
      </w:r>
    </w:p>
    <w:p>
      <w:r>
        <w:t>Dans le cas d’espèce, l’intimée a remis en doute la réalisation du facteur extérieur et extraordinaire. Selon le recourant, ce facteur résultait de sa glissade sur une plaque de glace.</w:t>
      </w:r>
    </w:p>
    <w:p>
      <w:r>
        <w:rPr>
          <w:b/>
        </w:rPr>
        <w:t>E. 2.3.1</w:t>
      </w:r>
    </w:p>
    <w:p>
      <w:r>
        <w:t>Dans le formulaire de déclaration de sinistre, l’employeur du recourant a indiqué que ce dernier avait effectué une chute à ski (pièce 1). Le recourant a ensuite fourni différentes explications, pour certaines contradictoires. Il a ainsi d’abord expliqué avoir glissé sur une plaque de verglas et que son épaule droite était « sortie » après qu’il ait appuyé tout son poids sur son bâton avec le bras droit. Dans le même document, il a cependant ajouté avoir chuté de sa hauteur sur son épaule droite (pièce 13). Contacté par téléphone, il a précisé ne pas être tombé et avoir pu faire encore dix mètres avant de s’arrêter et remettre son épaule en place (pièce 23). Dans son opposition, il a en outre expliqué que c’est en appuyant sur ses bâtons qu’il s’était déboité l’épaule droite et qu’il était ensuite tombé sur la piste (pièce 75, all. 6). Enfin, au stade du recours, il a évoqué une chute mais a insisté sur le fait que la glissade avait déclenché l’accident. Cela étant, le recourant a admis que son épaule droite s’était déboitée alors qu’il essayait de se retenir avec son bâton. L’existence d’une chute ne peut ainsi être établie au degré de la vraisemblance prépondérante. A tout le moins, qu’elle ait eu lieu ou non, elle n’a pas causé les douleurs ressenties par le recourant. Dans cette mesure, la jurisprudence qu’il cite est inapplicable dans le cas d’espèce, puisqu’elle concerne un assuré qui a chuté, ce d’autant plus que la réalisation des conditions d’un accident n’était pas litigieuse dans cette affaire (arrêt 8C_714/2013 du 23 juillet 2014).</w:t>
      </w:r>
    </w:p>
    <w:p>
      <w:r>
        <w:rPr>
          <w:b/>
        </w:rPr>
        <w:t>E. 2.3.2</w:t>
      </w:r>
    </w:p>
    <w:p>
      <w:r>
        <w:t>Il est rappelé qu’en présence d’une lésion se limitant à l’intérieur du corps, la cause de celle-ci doit être établie dans des circonstances particulièrement évidentes. Un évènement accidentel se manifeste en effet généralement par une lésion perceptible de l'extérieur, alors qu'en l'absence de celle-ci, il existe une probabilité accrue de causes purement liées à la maladie (ATF 99 V 136 consid. 1). Or, la description de l’évènement du 28 décembre 2020 ne laisse pas apparaître un phénomène particulier qui aurait</w:t>
      </w:r>
    </w:p>
    <w:p>
      <w:r>
        <w:t>- 9 - contraint le recourant à fournir involontairement un effort sur lequel il n’aurait eu aucune maîtrise, à l’instar d’un mouvement de torsion forcée du bras ou de la main (arrêts 8C_605/2020 du 8 juin 2021 consid. 4.3 et 8C_36/2013 du 14 janvier 2014). Au demeurant, contrairement à ce qu’il semble croire, la jurisprudence développée en lien avec la pratique d’activités sportives ne concerne pas uniquement des sportifs professionnels mais également des amateurs (cf. supra consid. 2.1.3, notamment les exemples en lien avec la pratique de l’escalade et du ski). En application de cette jurisprudence, l’on constate qu’un évènement accidentel fait en l’occurrence défaut. Le fait de devoir s’appuyer sur ses bâtons de ski afin d’éviter une chute lors d’une descente de piste n’excède en effet pas ce que l’on peut objectivement qualifier de normal et d'habituel dans l'exercice du ski alpin. Au contraire, cette activité de glisse nécessite précisément de pouvoir maintenir son équilibre avec l’aide de bâtons et sa pratique expose inévitablement le corps humain à des secousses régulières et ce même si les chocs sont violents (arrêt 8C_589/2021 précité consid. 5.4 dans le cas similaire d’un skieur ayant subi un choc à l’épaule en utilisant son bâton afin d’éviter une chute). Par ailleurs, le fait que des médecins aient mentionné un traumatisme ou une chute ne saurait être déterminant, dans la mesure où la notion juridique d’accident au sens de l’article 4 LPGA ne se recoupe pas avec la notion médicale de traumatisme (arrêt 8C_242/2021 du 2 novembre 2021 consid. 4 et les références).</w:t>
      </w:r>
    </w:p>
    <w:p>
      <w:r>
        <w:rPr>
          <w:b/>
        </w:rPr>
        <w:t>E. 2.3.3</w:t>
      </w:r>
    </w:p>
    <w:p>
      <w:r>
        <w:t>Dans ces circonstances, en l’absence d’un facteur extérieur et de caractère extraordinaire, on ne saurait considérer que la lésion à l’épaule droit résulte d’un accident (art. 6 al. 1 LAA et 4 LPGA).</w:t>
      </w:r>
    </w:p>
    <w:p>
      <w:r>
        <w:rPr>
          <w:b/>
        </w:rPr>
        <w:t>E. 3</w:t>
      </w:r>
    </w:p>
    <w:p>
      <w:r>
        <w:t>Dans un deuxième temps, il est nécessaire d’examiner si les affections dont l’assuré a été victime entrent dans la catégorie de lésion corporelle assimilée de l’article 6 alinéa 2 LAA et si celles-ci lui ouvraient le droit à des prestations.</w:t>
      </w:r>
    </w:p>
    <w:p>
      <w:r>
        <w:rPr>
          <w:b/>
        </w:rPr>
        <w:t>E. 3.1</w:t>
      </w:r>
    </w:p>
    <w:p>
      <w:r>
        <w:t>L’assurance alloue aussi ses prestations pour les lésions corporelles énumérées exhaustivement à l’article 6 alinéa 2 LAA, pour autant qu’elles ne soient pas dues de manière prépondérante à l’usure ou à une maladie. Cette disposition vise notamment les déchirures de tendons (let. f), auxquelles sont assimilées les déchirures de la coiffe des rotateurs (ATF 123 V 43 consid. 2b). Lorsque l’existence d’un accident n’est pas admise, le cas doit être examiné sous l’angles de l’article 6 alinéa 2 LAA (ATF 146 V 51 consid. 9.1). Selon la jurisprudence récente du Tribunal fédéral (ATF 146 V 51), lorsqu'une lésion corporelle comprise dans la liste énumérée à l'article 6 alinéa 2 LAA est diagnostiquée,</w:t>
      </w:r>
    </w:p>
    <w:p>
      <w:r>
        <w:t>- 10 - l'assureur-accidents est tenu à prestations aussi longtemps qu'il n'apporte pas la preuve libératoire que cette lésion est due de manière prépondérante, c'est-à-dire à plus de 50% de tous les facteurs en cause, à l'usure ou à une maladie (cf. consid. 8.2.2.1 et 8.3). En effet, contrairement à ce qui prévalait en matière de lésions corporelles assimilées à un accident sous l'empire de l'ancien droit (cf. art. 6 al. 2 LAA et art. 9 al. 2 OLAA [RS 832.202] dans leur teneur en vigueur jusqu'au 31 décembre 2016), l'octroi de prestations sur la base de l'article 6 alinéa 2 LAA (dans sa teneur en vigueur depuis le 1er janvier 2017) ne suppose plus que les conditions constitutives de la notion d'accident (cf. art. 4 LPGA [RS 830.1]) soient réalisées, à la seule exception du caractère « extraordinaire » de la cause extérieure. Le seul fait que l'on soit en présence d'une lésion corporelle comprise dans la liste énumérée à l'article 6 alinéa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(cf. consid. 8.6).</w:t>
      </w:r>
    </w:p>
    <w:p>
      <w:r>
        <w:rPr>
          <w:b/>
        </w:rPr>
        <w:t>E. 3.2</w:t>
      </w:r>
    </w:p>
    <w:p>
      <w:r>
        <w:t>;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V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w:t>
      </w:r>
    </w:p>
    <w:p>
      <w:r>
        <w:t>- 12 - V 157 consid. 1d). Cependant, lorsqu'un cas d'assurance est ré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139 V 225 consid. 5.2 ; 135 V 465 consid. 4.6 ; arrêt 9C_108/2011 du 24 octobre 2011 consid. 2.2).</w:t>
      </w:r>
    </w:p>
    <w:p>
      <w:r>
        <w:rPr>
          <w:b/>
        </w:rPr>
        <w:t>E. 3.3</w:t>
      </w:r>
    </w:p>
    <w:p>
      <w:r>
        <w:t>Dans le domaine des assurances sociales, l'autorité fonde généralement sa décision sur les faits qui, faute d'être établis de manière irréfutable, apparaissent comme les plus vraisemblables, c'est-à-dire qui présentent un degré de vraisemblance</w:t>
      </w:r>
    </w:p>
    <w:p>
      <w:r>
        <w:t>- 11 -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w:t>
      </w:r>
    </w:p>
    <w:p>
      <w:r>
        <w:rPr>
          <w:b/>
        </w:rPr>
        <w:t>E. 3.4</w:t>
      </w:r>
    </w:p>
    <w:p>
      <w:r>
        <w:t>Dans le cas d’espèce, les examens médicaux ont clairement mis en évidence une rupture du tendon du sus-épineux de l’épaule droite du recourant. Il ne fait dès lors pas de doute qu’il s’agit d’une lésion corporelle assimilée au sens de l’article 6 alinéa 2 lettre f LAA. Il convient dès lors d’examiner si l’intimée a apporté la preuve que, au 3 mars 2021, la lésion du recourant était due de manière prépondérante à l’usure ou à la maladie.</w:t>
      </w:r>
    </w:p>
    <w:p>
      <w:r>
        <w:rPr>
          <w:b/>
        </w:rPr>
        <w:t>E. 3.4.1</w:t>
      </w:r>
    </w:p>
    <w:p>
      <w:r>
        <w:t>Le médecin conseil de l’intimée a estimé que la coiffe des rotateurs de l’intéressé présentait des atteintes dégénératives préexistantes et que l’IRM du 8 février 2021 avait mis en évidence des lésions chroniques sans inflammation aiguë, présentes</w:t>
      </w:r>
    </w:p>
    <w:p>
      <w:r>
        <w:t>- 13 - depuis un à deux ans. Selon le Dr D _________, l’évènement du 28 décembre 2020 avait ainsi conduit à une aggravation passagère d’un état antérieur et le statu quo sine avait été atteint le 3 mars 2021 (cf. avis du 11 mars 2021 ; pièce 40). Depuis cette date, la lésion de l’intéressé était ainsi due de manière prépondérante à l’usure ou à la maladie, selon l’intimée.</w:t>
      </w:r>
    </w:p>
    <w:p>
      <w:r>
        <w:rPr>
          <w:b/>
        </w:rPr>
        <w:t>E. 3.4.2</w:t>
      </w:r>
    </w:p>
    <w:p>
      <w:r>
        <w:t>L’on note que le recourant a subi de vives douleurs immédiatement après avoir glissé sur la plaque de verglas le 28 décembre 2020. Il a également rapidement consulté son médecin traitant le lendemain, lequel a dans un premier temps retenu une luxation ainsi qu’une abduction limitée de l’épaule, mais sans visualiser de fracture, et l’a directement mis en arrêt de travail (cf. rapport du 27 janvier 2021 ; pièce 6). Dans un courrier spontané, l’employeur de l’intéressé a indiqué que ce dernier n’avait auparavant jamais été empêché de mener à bien son activité professionnelle en raison de douleurs à l’épaule (cf. courrier du 25 avril 2021 ; pièce 65). Il apparaît dès lors que cet évènement ait déclenché une symptomatologie douloureuse qui n’était par le passé pas présente ou demeurait asymptomatique. Cependant, le seul fait que des symptômes douloureux ne se sont manifestés qu'après la survenance d'un accident ne suffit pas encore à établir un rapport de causalité naturelle avec cet accident (raisonnement post hoc ergo propter hoc ; ATF 119 V 335 consid. 2b/bb ; arrêt 8C_335/2018 du 7 mai 2019 consid. 5). L’IRM du 8 février 2021 a ensuite révélé des atteintes dégénératives mais également une rupture transfixiante du tendon du sus-épineux (cf. pièce 24). Analysant cette imagerie, le Dr C _________ a estimé que la rupture du tendon, d’origine traumatique, avait été causée par l’évènement du 28 décembre 2020 et a ainsi adressé son patient au Dr E _________ pour une prise en charge chirurgicale (cf. rapport du 9 février 2021 ; pièce 19). Celui-ci a également indiqué qu’il s’agissait d’une lésion post-traumatique et a observé que l’impotence fonctionnelle avait pu être légèrement améliorée par les séances de physiothérapie (cf. avis du 4 mars 2021 ; pièce 39). Le 25 mars 2021, il a opéré le recourant (cf. protocole opératoire du 25 mars 2021 ; pièce 60). S’il existait, certes, des lésions dégénératives préexistantes dans l’épaule droite du recourant, le médecin traitant de ce dernier et le spécialiste l’ayant opéré affirment que la cause de la rupture tendineuse était traumatique. Confronté à ces avis, il revenait au Dr D _________ de motiver les raisons pour lesquelles il estimait que les douleurs étaient dues de manière prépondérante à l’usure ou une maladie. Or, son avis du 11 mars 2021, très laconique et pas étayé sur le plan médical, n’est que peu probant et ne justifie pas d’écarter sans autre les rapports des Drs C _________ et E _________. L’intimée ne pouvait dès lors pas se contenter de cet avis péremptoire et insuffisamment</w:t>
      </w:r>
    </w:p>
    <w:p>
      <w:r>
        <w:t>- 14 - motivé, mais aurait au contraire dû ordonner un complément d’examen, au vu du fardeau de la preuve qui lui incombe dans cette situation et de son devoir d’instruction (art. 43 LPGA ; arrêt 8C_13/2021 du 6 septembre 2021 consid. 3.4). Un simple examen de l’épaule opposée, par exemple par le biais d’une échographie, aurait en effet vraisemblablement pu apporter des indices supplémentaires quant à l’importance d’atteintes dégénératives préexistantes et leur stade d’avancement dans l’épaule gauche du recourant.</w:t>
      </w:r>
    </w:p>
    <w:p>
      <w:r>
        <w:rPr>
          <w:b/>
        </w:rPr>
        <w:t>E. 3.4.3</w:t>
      </w:r>
    </w:p>
    <w:p>
      <w:r>
        <w:t>Dans la décision querellée, l’intimée se réfère à un article publié dans la revue médicale « Infoméd » et plus particulièrement à la grille d’évaluation contenue dans ce document et énumérant des indices permettant d’évaluer l’origine d’une atteinte (DUBS/SOLTERMANN /BRANDENBERG/LUCHSINGER, Evaluation médicale ciblée après traumatisme de l’épaule – Causes des lésions isolées de la coiffe des rotateurs et leur diagnostic médical d’assécurologie, in : Infoméd n° 2021/1). Les critères de cette grille ne suffisent cependant pas à pallier les lacunes d’instruction du dossier au niveau médical. Par ailleurs, on relève que plusieurs des indices invoqués dans cette grille vont en faveur d’un traumatisme récent, à l’instar de l’apparition de douleurs immédiates le 28 décembre 2020, de la rapide consultation qui a été nécessaire auprès d’un médecin, de l’atteinte fonctionnelle qui y a été observée, de l’incapacité de travail attestée et de l’absence de lésions symptomatiques antérieures. Une luxation a également été suspectée dans un premier temps, puis un diagnostic de rupture tendineuse a été posé. L’opération a en outre montré des lésions concomitantes (atteinte du tendon infra- épineux, signe d’inflammation du LCB) et le Dr E _________ n’a en revanche pas observé de signe d’arthrose ni de lésion du cartilage ou d’atteinte complexe de la coiffe des rotateurs (cf. pièce 60). Ce spécialiste a en plus relevé que la mobilité active de l’épaule droite était limitée et la mobilité passive conservée, ce qui est un critère particulièrement parlant en faveur d’une genèse accidentelle (Infoméd, op. cit., p. 2). Les critères sur lesquels se fonde Hotela, à savoir l’âge et le type d’activité, n’ont au contraire qu’une pondération modérée, ce d’autant plus que la profession du recourant (chef de rang) n’exigeait manifestement pas une utilisation fréquente des bras au-dessus de la tête (cf. courrier du 25 avril 2021 de l’employeur décrivant les tâches physiques de l’intéressé ; pièce 65), de sorte que l’on ne saurait retenir qu’il était régulièrement exposé à des activités overhead. Du reste, âgé de 48 ans au moment de l’évènement du 28 décembre 2020, les chances qu’il souffrait déjà d’une lésion transfixiante de la coiffe des rotateurs étaient relativement faibles (une étude médicale sur la prévalence de telles lésions en fonction de l’âge ayant donné les résultats suivants : 50-59 ans 13%, 60-69</w:t>
      </w:r>
    </w:p>
    <w:p>
      <w:r>
        <w:t>- 15 - ans 20%, 70-79 ans 31%, plus de 80 ans 51% ; Infoméd, op. cit., p. 9 et la référence) et il semble peu vraisemblable qu’il ait pu exercer son activité professionnelle sans la moindre douleurs ou limitation fonctionnelle en présence d’une telle atteinte à l’épaule droite.</w:t>
      </w:r>
    </w:p>
    <w:p>
      <w:r>
        <w:rPr>
          <w:b/>
        </w:rPr>
        <w:t>E. 3.5</w:t>
      </w:r>
    </w:p>
    <w:p>
      <w:r>
        <w:t>Confrontée à ces éléments, l’intimée ne pouvait pas se contenter de l’avis insuffisamment probant du Dr D _________ pour conclure que, en date du 3 mars 2021, la lésion de la coiffe des rotateurs était due de manière prépondérante (à plus de 50%) à l’usure ou à la maladie. A cet égard, l’on note d’ailleurs que l’explication fournie par le médecin conseil d’Hotela sur la date retenue n’est que peu convaincante et démontre nullement qu’une opération aurait été nécessaire même en l’absence de l’évènement du 28 décembre 2020. En présence d’avis divergents émanant de spécialistes sur l’origine de la rupture tendineuse, il n’est cependant pas possible pour la Cour de céans de retenir que cette lésion a été causée de manière prépondérante par un traumatisme et de définir à quelle date le recourant a pu récupérer l’état de santé qui aurait été le sien sans l’évènement du 28 décembre 2020. Rien au dossier ne permet en effet de savoir si les douleurs du recourant ont pu être réduites par l’opération du 25 mars 2021 et s’il a pu reprendre une activité professionnelle. En particulier, on note que des séances de physiothérapie étaient encore suivies après cette intervention chirurgicale et que le médecin traitant a attesté un arrêt de travail jusqu’au 30 avril 2021 (cf. pièces 45 et 80). Eu égard à ce qui précède, la décision sur opposition du 16 septembre 2021 est annulée et la cause renvoyée à Hotela pour mise en œuvre d’une expertise indépendante au sens de l’article 44 LPGA, dans la mesure où il convient encore d'examiner un certain nombre de points que les avis contradictoires des spécialistes n'ont pas permis à la Cour d’élucider et conformément au principe inquisitoire qui régit la procédure dans le domaine des assurances sociales selon l’article 43 alinéa 1 LPGA (ATF 132 V 368 consid. 5 ; arrêts 8C_382/2020 du 3 décembre 2020 consid. 6.3, 8C_401/2019 du 9 juin 2020 consid. 5.3.3 et les références). Si l'expert désigné n'arrive pas à la conclusion motivée et convaincante que la lésion du recourant est due de manière prépondérante à l'usure ou à la maladie, il appartiendra alors à l’intimée de prendre en charge les suites de l'atteinte à la santé.</w:t>
      </w:r>
    </w:p>
    <w:p>
      <w:r>
        <w:rPr>
          <w:b/>
        </w:rPr>
        <w:t>E. 4</w:t>
      </w:r>
    </w:p>
    <w:p>
      <w:r>
        <w:t>La procédure étant gratuite, il n’est pas perçu de frais (art. 61 let. fbis LPGA ; aucune disposition spéciale de la LAA ne prévoyant la perception de frais judiciaires).</w:t>
      </w:r>
    </w:p>
    <w:p>
      <w:r>
        <w:rPr>
          <w:b/>
        </w:rPr>
        <w:t>E. 5</w:t>
      </w:r>
    </w:p>
    <w:p>
      <w:r>
        <w:t>La partie recourante est réputée avoir obtenu gain de cause (art. 61 let. g LPGA) lorsque, dans la procédure judiciaire cantonale portant sur des prestations d’assurance</w:t>
      </w:r>
    </w:p>
    <w:p>
      <w:r>
        <w:t>- 16 - sociale, la décision administrative est annulée et la cause renvoyée à l’administration pour instruction complémentaire puis nouvelle décision (ATF 137 V 57 consid. 2.1 et 132 V 215 consid. 6).</w:t>
      </w:r>
    </w:p>
    <w:p>
      <w:r>
        <w:rPr>
          <w:b/>
        </w:rPr>
        <w:t>E. 5.1</w:t>
      </w:r>
    </w:p>
    <w:p>
      <w:r>
        <w:t>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 110 V 365 consid. 3c ; SVR 2001 AHV n°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w:t>
      </w:r>
    </w:p>
    <w:p>
      <w:r>
        <w:rPr>
          <w:b/>
        </w:rPr>
        <w:t>E. 5.2</w:t>
      </w:r>
    </w:p>
    <w:p>
      <w:r>
        <w:t>Dans le cas d’espèce, la mandataire du recourant a produit un recours de 8 pages, une réplique de 6 pages et une brève détermination supplémentaire de 2 pages. Au vu des critères précités, de l’activité utile déployée par l’avocate du recourant, de la teneur des pièces de procédure déposées, de la complexité moyenne de l’affaire, de l’ampleur</w:t>
      </w:r>
    </w:p>
    <w:p>
      <w:r>
        <w:t>- 17 - du dossier, la Cour fixe les honoraires de son avocate à un montant arrondi de 2000 francs, débours et TVA compris.</w:t>
      </w:r>
    </w:p>
    <w:p>
      <w:r>
        <w:t>Prononce</w:t>
      </w:r>
    </w:p>
    <w:p>
      <w:r>
        <w:t>1. Le recours est admis, la décision sur opposition du 16 septembre 2021 annulée, et la cause renvoyée à Hotela Assurances SA afin qu’elle mette en œuvre une expertise au sens de l’article 44 LPGA, conformément au considérant 3.5, puis rende une nouvelle décision. 2. Il n'est pas perçu de frais. 3. Hotela Assurances SA versera à X _________ une indemnité de 2000 francs pour ses dépens.</w:t>
      </w:r>
    </w:p>
    <w:p>
      <w:r>
        <w:t>Sion, le 22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